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D7" w:rsidRDefault="006B1ED7" w:rsidP="006B1ED7">
      <w:pPr>
        <w:tabs>
          <w:tab w:val="left" w:pos="945"/>
        </w:tabs>
        <w:spacing w:after="0" w:line="240" w:lineRule="auto"/>
        <w:jc w:val="center"/>
        <w:rPr>
          <w:rFonts w:eastAsia="Times New Roman" w:cs="Arial"/>
          <w:b/>
          <w:color w:val="FF0000"/>
          <w:sz w:val="20"/>
          <w:szCs w:val="20"/>
          <w:lang w:eastAsia="pt-BR"/>
        </w:rPr>
      </w:pPr>
      <w:r w:rsidRPr="00DC7E6B">
        <w:rPr>
          <w:rFonts w:eastAsia="Times New Roman" w:cs="Arial"/>
          <w:b/>
          <w:sz w:val="18"/>
          <w:szCs w:val="18"/>
          <w:lang w:eastAsia="pt-BR"/>
        </w:rPr>
        <w:t xml:space="preserve">Município de </w:t>
      </w:r>
      <w:r>
        <w:rPr>
          <w:rFonts w:eastAsia="Times New Roman" w:cs="Arial"/>
          <w:b/>
          <w:sz w:val="18"/>
          <w:szCs w:val="18"/>
          <w:lang w:eastAsia="pt-BR"/>
        </w:rPr>
        <w:t>Salvador das Missões</w:t>
      </w:r>
    </w:p>
    <w:p w:rsidR="006B1ED7" w:rsidRPr="00340119" w:rsidRDefault="006B1ED7" w:rsidP="006B1ED7">
      <w:pPr>
        <w:spacing w:after="60" w:line="240" w:lineRule="auto"/>
        <w:ind w:firstLine="567"/>
        <w:jc w:val="center"/>
        <w:outlineLvl w:val="1"/>
        <w:rPr>
          <w:rFonts w:eastAsia="Times New Roman"/>
          <w:b/>
          <w:sz w:val="24"/>
          <w:szCs w:val="24"/>
          <w:lang w:eastAsia="pt-BR"/>
        </w:rPr>
      </w:pPr>
      <w:bookmarkStart w:id="0" w:name="_Toc466274125"/>
      <w:bookmarkStart w:id="1" w:name="_GoBack"/>
      <w:r w:rsidRPr="00340119">
        <w:rPr>
          <w:rFonts w:eastAsia="Times New Roman"/>
          <w:b/>
          <w:sz w:val="24"/>
          <w:szCs w:val="24"/>
          <w:lang w:eastAsia="pt-BR"/>
        </w:rPr>
        <w:t>Notas Explicativas da Demonstração dos Fluxos de Caixa do RPPS</w:t>
      </w:r>
      <w:bookmarkEnd w:id="0"/>
      <w:r w:rsidRPr="00340119">
        <w:rPr>
          <w:rFonts w:eastAsia="Times New Roman"/>
          <w:b/>
          <w:sz w:val="24"/>
          <w:szCs w:val="24"/>
          <w:lang w:eastAsia="pt-BR"/>
        </w:rPr>
        <w:t xml:space="preserve"> de 2020</w:t>
      </w:r>
    </w:p>
    <w:p w:rsidR="006B1ED7" w:rsidRPr="00C36C47" w:rsidRDefault="006B1ED7" w:rsidP="006B1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lang w:eastAsia="pt-BR"/>
        </w:rPr>
      </w:pPr>
    </w:p>
    <w:bookmarkEnd w:id="1"/>
    <w:p w:rsidR="006B1ED7" w:rsidRPr="000B45B3" w:rsidRDefault="006B1ED7" w:rsidP="006B1ED7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lang w:eastAsia="zh-CN"/>
        </w:rPr>
      </w:pPr>
      <w:r w:rsidRPr="000B45B3">
        <w:rPr>
          <w:rFonts w:eastAsia="Times New Roman" w:cs="Arial"/>
          <w:b/>
          <w:bCs/>
          <w:lang w:eastAsia="pt-BR"/>
        </w:rPr>
        <w:t xml:space="preserve"> Nota 1 – Contexto Operacional: </w:t>
      </w:r>
      <w:r w:rsidRPr="000B45B3">
        <w:rPr>
          <w:rFonts w:eastAsia="Times New Roman" w:cs="Arial"/>
          <w:bCs/>
          <w:lang w:eastAsia="pt-BR"/>
        </w:rPr>
        <w:t>por se tratar da</w:t>
      </w:r>
      <w:r w:rsidRPr="000B45B3">
        <w:rPr>
          <w:rFonts w:eastAsia="Times New Roman" w:cs="Arial"/>
          <w:b/>
          <w:bCs/>
          <w:lang w:eastAsia="pt-BR"/>
        </w:rPr>
        <w:t xml:space="preserve"> </w:t>
      </w:r>
      <w:r w:rsidRPr="000B45B3">
        <w:rPr>
          <w:rFonts w:eastAsia="SimSun" w:cs="Arial"/>
          <w:lang w:eastAsia="zh-CN"/>
        </w:rPr>
        <w:t xml:space="preserve">DFC da unidade gestora do RPPS, informamos que foi elaborada pelo método direto e evidencia as movimentações ocorridas na conta Caixa e Equivalentes de Caixa, segregados nos fluxos das operações, dos investimentos e dos financiamentos, </w:t>
      </w:r>
      <w:r w:rsidRPr="000B45B3">
        <w:rPr>
          <w:rFonts w:eastAsia="SimSun" w:cs="Arial"/>
          <w:b/>
          <w:lang w:eastAsia="zh-CN"/>
        </w:rPr>
        <w:t xml:space="preserve">considerando os pagamentos e recebimentos </w:t>
      </w:r>
      <w:proofErr w:type="spellStart"/>
      <w:r w:rsidRPr="000B45B3">
        <w:rPr>
          <w:rFonts w:eastAsia="SimSun" w:cs="Arial"/>
          <w:b/>
          <w:lang w:eastAsia="zh-CN"/>
        </w:rPr>
        <w:t>intraorçamentários</w:t>
      </w:r>
      <w:proofErr w:type="spellEnd"/>
      <w:r w:rsidRPr="000B45B3">
        <w:rPr>
          <w:rFonts w:eastAsia="SimSun" w:cs="Arial"/>
          <w:b/>
          <w:lang w:eastAsia="zh-CN"/>
        </w:rPr>
        <w:t>.</w:t>
      </w:r>
      <w:r w:rsidRPr="000B45B3">
        <w:rPr>
          <w:rFonts w:eastAsia="SimSun" w:cs="Arial"/>
          <w:lang w:eastAsia="zh-CN"/>
        </w:rPr>
        <w:t xml:space="preserve">  O resultado final corresponde à diferença entre os saldos iniciais e finais de Caixa e Equivalentes de Caixa do RPPS e mantêm compatibilidade com os valores apresentados no Balanço Financeiro.</w:t>
      </w:r>
    </w:p>
    <w:p w:rsidR="006B1ED7" w:rsidRPr="00C36C47" w:rsidRDefault="006B1ED7" w:rsidP="006B1ED7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Cambria"/>
          <w:color w:val="FF0000"/>
          <w:lang w:eastAsia="zh-CN"/>
        </w:rPr>
      </w:pPr>
    </w:p>
    <w:p w:rsidR="006B1ED7" w:rsidRDefault="006B1ED7" w:rsidP="006B1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zh-CN"/>
        </w:rPr>
      </w:pPr>
      <w:r w:rsidRPr="000B45B3">
        <w:rPr>
          <w:rFonts w:eastAsia="Times New Roman" w:cs="Arial"/>
          <w:b/>
          <w:bCs/>
          <w:lang w:eastAsia="pt-BR"/>
        </w:rPr>
        <w:t xml:space="preserve">Nota 2 – Fluxos de Caixa das Atividades Operacionais:   </w:t>
      </w:r>
      <w:r w:rsidRPr="000B45B3">
        <w:rPr>
          <w:rFonts w:eastAsia="Times New Roman" w:cs="Arial"/>
          <w:lang w:eastAsia="pt-BR"/>
        </w:rPr>
        <w:t>os ingressos</w:t>
      </w:r>
      <w:r w:rsidRPr="000B45B3">
        <w:rPr>
          <w:rFonts w:eastAsia="Times New Roman" w:cs="Arial"/>
          <w:b/>
          <w:bCs/>
          <w:lang w:eastAsia="pt-BR"/>
        </w:rPr>
        <w:t xml:space="preserve"> c</w:t>
      </w:r>
      <w:r w:rsidRPr="000B45B3">
        <w:rPr>
          <w:rFonts w:eastAsia="SimSun" w:cs="Arial"/>
          <w:lang w:eastAsia="zh-CN"/>
        </w:rPr>
        <w:t xml:space="preserve">ompreendem as receitas relativas às atividades operacionais líquidas das respectivas deduções, representadas principalmente pelas receitas das contribuições dos servidores, das contribuições patronais, dos rendimentos das aplicações financeiras, da compensação financeiras </w:t>
      </w:r>
      <w:r w:rsidRPr="000B45B3">
        <w:rPr>
          <w:rFonts w:eastAsia="Times New Roman" w:cs="Arial"/>
          <w:lang w:eastAsia="zh-CN"/>
        </w:rPr>
        <w:t xml:space="preserve">recebidas pelo RPPS.  Já os desembolsos compreendem os pagamentos relativos aos benefícios previdenciários de responsabilidade do RPPS, despesas administrativas suportadas com recursos da Taxa de Administração e demais despesas. </w:t>
      </w:r>
    </w:p>
    <w:p w:rsidR="006B1ED7" w:rsidRPr="000B45B3" w:rsidRDefault="006B1ED7" w:rsidP="006B1E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zh-CN"/>
        </w:rPr>
      </w:pPr>
    </w:p>
    <w:p w:rsidR="006B1ED7" w:rsidRPr="000B45B3" w:rsidRDefault="006B1ED7" w:rsidP="006B1ED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B45B3">
        <w:rPr>
          <w:rFonts w:eastAsia="Times New Roman" w:cs="Arial"/>
          <w:b/>
          <w:bCs/>
          <w:lang w:eastAsia="pt-BR"/>
        </w:rPr>
        <w:t xml:space="preserve">Nota 3 – Fluxos de Caixa das Atividades de Financiamento: </w:t>
      </w:r>
      <w:r w:rsidRPr="000B45B3">
        <w:rPr>
          <w:rFonts w:eastAsia="Times New Roman" w:cs="Arial"/>
          <w:bCs/>
          <w:lang w:eastAsia="pt-BR"/>
        </w:rPr>
        <w:t xml:space="preserve">considerada a natureza das operações do RPPS, e a restrição quanto ao uso dos recursos vinculados ao RPPS para o </w:t>
      </w:r>
      <w:r w:rsidRPr="000B45B3">
        <w:t>pagamento de benefícios previdenciários e para as despesas administrativas (art. 1º, III, da Lei Federal nº 9.717/1998), não foram registradas e saídas no fluxo de caixa das atividades de financiamento.</w:t>
      </w:r>
    </w:p>
    <w:p w:rsidR="006B1ED7" w:rsidRPr="000B45B3" w:rsidRDefault="006B1ED7" w:rsidP="006B1ED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6B1ED7" w:rsidRPr="000B45B3" w:rsidRDefault="006B1ED7" w:rsidP="006B1ED7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b/>
          <w:bCs/>
          <w:lang w:eastAsia="zh-CN"/>
        </w:rPr>
      </w:pPr>
      <w:r w:rsidRPr="000B45B3">
        <w:rPr>
          <w:rFonts w:eastAsia="SimSun" w:cs="Arial"/>
          <w:b/>
          <w:bCs/>
          <w:lang w:eastAsia="zh-CN"/>
        </w:rPr>
        <w:t xml:space="preserve">Nota 4 – Outros Ingressos e Outros Desembolsos: </w:t>
      </w:r>
      <w:r w:rsidRPr="000B45B3">
        <w:rPr>
          <w:rFonts w:eastAsia="SimSun" w:cs="Arial"/>
          <w:lang w:eastAsia="zh-CN"/>
        </w:rPr>
        <w:t>os valores apresentados</w:t>
      </w:r>
      <w:r w:rsidRPr="000B45B3">
        <w:rPr>
          <w:rFonts w:eastAsia="SimSun" w:cs="Arial"/>
          <w:b/>
          <w:bCs/>
          <w:lang w:eastAsia="zh-CN"/>
        </w:rPr>
        <w:t xml:space="preserve"> </w:t>
      </w:r>
      <w:r w:rsidRPr="000B45B3">
        <w:rPr>
          <w:rFonts w:eastAsia="SimSun" w:cs="Arial"/>
          <w:lang w:eastAsia="zh-CN"/>
        </w:rPr>
        <w:t xml:space="preserve">contemplam recebimentos e pagamentos que não transitam pelo orçamento, mas que afetaram o saldo de Caixa e Equivalentes de Caixa, como as receitas e despesas </w:t>
      </w:r>
      <w:proofErr w:type="spellStart"/>
      <w:r w:rsidRPr="000B45B3">
        <w:rPr>
          <w:rFonts w:eastAsia="SimSun" w:cs="Arial"/>
          <w:lang w:eastAsia="zh-CN"/>
        </w:rPr>
        <w:t>extraorçamentárias</w:t>
      </w:r>
      <w:proofErr w:type="spellEnd"/>
      <w:r w:rsidRPr="000B45B3">
        <w:rPr>
          <w:rFonts w:eastAsia="SimSun" w:cs="Arial"/>
          <w:lang w:eastAsia="zh-CN"/>
        </w:rPr>
        <w:t>, bem como as perdas involuntárias e rendimentos negativos das aplicações financeiras do RPPS, que excederam ao valor dos rendimentos acumulados no exercício.</w:t>
      </w:r>
    </w:p>
    <w:p w:rsidR="00CC55FF" w:rsidRDefault="00CC55FF"/>
    <w:sectPr w:rsidR="00CC5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D7"/>
    <w:rsid w:val="006B1ED7"/>
    <w:rsid w:val="00C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28D7-1262-45D4-BB48-74B4C871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CONTABILIDADE</cp:lastModifiedBy>
  <cp:revision>1</cp:revision>
  <dcterms:created xsi:type="dcterms:W3CDTF">2021-01-20T15:08:00Z</dcterms:created>
  <dcterms:modified xsi:type="dcterms:W3CDTF">2021-01-20T15:08:00Z</dcterms:modified>
</cp:coreProperties>
</file>