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67" w:rsidRPr="00DC7E6B" w:rsidRDefault="00B93B67" w:rsidP="00B93B67">
      <w:pPr>
        <w:spacing w:after="0" w:line="240" w:lineRule="auto"/>
        <w:jc w:val="center"/>
        <w:rPr>
          <w:rFonts w:eastAsia="Times New Roman" w:cs="Arial"/>
          <w:b/>
          <w:sz w:val="18"/>
          <w:szCs w:val="18"/>
          <w:lang w:eastAsia="pt-BR"/>
        </w:rPr>
      </w:pPr>
      <w:r w:rsidRPr="00DC7E6B">
        <w:rPr>
          <w:rFonts w:eastAsia="Times New Roman" w:cs="Arial"/>
          <w:b/>
          <w:sz w:val="18"/>
          <w:szCs w:val="18"/>
          <w:lang w:eastAsia="pt-BR"/>
        </w:rPr>
        <w:t xml:space="preserve">Município de </w:t>
      </w:r>
      <w:r>
        <w:rPr>
          <w:rFonts w:eastAsia="Times New Roman" w:cs="Arial"/>
          <w:b/>
          <w:sz w:val="18"/>
          <w:szCs w:val="18"/>
          <w:lang w:eastAsia="pt-BR"/>
        </w:rPr>
        <w:t>Salvador das Missões</w:t>
      </w:r>
    </w:p>
    <w:p w:rsidR="00B93B67" w:rsidRPr="00FC6038" w:rsidRDefault="00B93B67" w:rsidP="00B93B67">
      <w:pPr>
        <w:spacing w:after="60" w:line="240" w:lineRule="auto"/>
        <w:jc w:val="center"/>
        <w:outlineLvl w:val="1"/>
        <w:rPr>
          <w:rFonts w:eastAsia="Times New Roman"/>
          <w:b/>
          <w:sz w:val="24"/>
          <w:szCs w:val="24"/>
          <w:lang w:eastAsia="pt-BR"/>
        </w:rPr>
      </w:pPr>
      <w:bookmarkStart w:id="0" w:name="_Toc466274112"/>
      <w:r w:rsidRPr="00FC6038">
        <w:rPr>
          <w:rFonts w:eastAsia="Times New Roman"/>
          <w:b/>
          <w:sz w:val="24"/>
          <w:szCs w:val="24"/>
          <w:lang w:eastAsia="pt-BR"/>
        </w:rPr>
        <w:t>Notas Explicativas do Balanço Orçamentário</w:t>
      </w:r>
      <w:bookmarkEnd w:id="0"/>
      <w:r w:rsidRPr="00FC6038">
        <w:rPr>
          <w:rFonts w:eastAsia="Times New Roman"/>
          <w:b/>
          <w:sz w:val="24"/>
          <w:szCs w:val="24"/>
          <w:lang w:eastAsia="pt-BR"/>
        </w:rPr>
        <w:t xml:space="preserve"> do RPPS de 2020</w:t>
      </w:r>
    </w:p>
    <w:p w:rsidR="00B93B67" w:rsidRPr="00FC6038" w:rsidRDefault="00B93B67" w:rsidP="00B93B67">
      <w:pPr>
        <w:spacing w:after="0" w:line="240" w:lineRule="auto"/>
        <w:jc w:val="both"/>
        <w:rPr>
          <w:rFonts w:eastAsia="Times New Roman" w:cs="Arial"/>
          <w:b/>
          <w:lang w:eastAsia="pt-BR"/>
        </w:rPr>
      </w:pPr>
    </w:p>
    <w:p w:rsidR="00B93B67" w:rsidRPr="00FC6038" w:rsidRDefault="00B93B67" w:rsidP="00B93B67">
      <w:pPr>
        <w:spacing w:after="0" w:line="240" w:lineRule="auto"/>
        <w:jc w:val="both"/>
        <w:rPr>
          <w:rFonts w:eastAsia="Times New Roman" w:cs="Arial"/>
          <w:color w:val="FF0000"/>
          <w:lang w:eastAsia="pt-BR"/>
        </w:rPr>
      </w:pPr>
      <w:r w:rsidRPr="00FC6038">
        <w:rPr>
          <w:rFonts w:eastAsia="Times New Roman" w:cs="Arial"/>
          <w:b/>
          <w:lang w:eastAsia="pt-BR"/>
        </w:rPr>
        <w:t xml:space="preserve"> Nota 1 - Contexto operacional:  </w:t>
      </w:r>
      <w:r w:rsidRPr="00FC6038">
        <w:rPr>
          <w:rFonts w:eastAsia="Times New Roman" w:cs="Arial"/>
          <w:lang w:eastAsia="pt-BR"/>
        </w:rPr>
        <w:t xml:space="preserve">os dados apresentados compreendem os Regime Próprio de Previdência </w:t>
      </w:r>
      <w:proofErr w:type="gramStart"/>
      <w:r w:rsidRPr="00FC6038">
        <w:rPr>
          <w:rFonts w:eastAsia="Times New Roman" w:cs="Arial"/>
          <w:lang w:eastAsia="pt-BR"/>
        </w:rPr>
        <w:t>Social  (</w:t>
      </w:r>
      <w:proofErr w:type="gramEnd"/>
      <w:r w:rsidRPr="00FC6038">
        <w:rPr>
          <w:rFonts w:eastAsia="Times New Roman" w:cs="Arial"/>
          <w:lang w:eastAsia="pt-BR"/>
        </w:rPr>
        <w:t>RPPS)</w:t>
      </w:r>
      <w:r w:rsidRPr="00FC6038">
        <w:rPr>
          <w:rFonts w:eastAsia="Times New Roman" w:cs="Arial"/>
          <w:spacing w:val="7"/>
          <w:lang w:eastAsia="pt-BR"/>
        </w:rPr>
        <w:t xml:space="preserve"> do Município, organizado sob a forma de fundo público nos termos da Lei Municipal nº 492/2005. O detalhamento da previsão e execução das receitas e despesas orçamentárias atendeu as especificações da Portaria Interministerial STN/SOF n.º 163/2001 e </w:t>
      </w:r>
      <w:r w:rsidRPr="00FC6038">
        <w:rPr>
          <w:rFonts w:eastAsia="Times New Roman" w:cs="Arial"/>
          <w:lang w:eastAsia="pt-BR"/>
        </w:rPr>
        <w:t>respectivas alterações, tendo sido observados, quando cabíveis, os detalhamentos estabelecidos pelo Tribunal de Contas do Estado.</w:t>
      </w:r>
    </w:p>
    <w:p w:rsidR="00B93B67" w:rsidRPr="00FC6038" w:rsidRDefault="00B93B67" w:rsidP="00B93B67">
      <w:pPr>
        <w:spacing w:after="0" w:line="240" w:lineRule="auto"/>
        <w:jc w:val="both"/>
        <w:rPr>
          <w:rFonts w:eastAsia="Times New Roman" w:cs="Arial"/>
          <w:b/>
          <w:color w:val="FF0000"/>
          <w:lang w:eastAsia="pt-BR"/>
        </w:rPr>
      </w:pPr>
    </w:p>
    <w:p w:rsidR="00B93B67" w:rsidRPr="00FC6038" w:rsidRDefault="00B93B67" w:rsidP="00B93B67">
      <w:pPr>
        <w:spacing w:after="0" w:line="240" w:lineRule="auto"/>
        <w:jc w:val="both"/>
        <w:rPr>
          <w:rFonts w:eastAsia="Times New Roman" w:cs="Arial"/>
          <w:lang w:eastAsia="pt-BR"/>
        </w:rPr>
      </w:pPr>
      <w:r w:rsidRPr="00FC6038">
        <w:rPr>
          <w:rFonts w:eastAsia="Times New Roman" w:cs="Arial"/>
          <w:b/>
          <w:lang w:eastAsia="pt-BR"/>
        </w:rPr>
        <w:t xml:space="preserve">Nota 2 - Critério de apropriação: </w:t>
      </w:r>
      <w:r w:rsidRPr="00FC6038">
        <w:rPr>
          <w:rFonts w:eastAsia="Times New Roman" w:cs="Arial"/>
          <w:lang w:eastAsia="pt-BR"/>
        </w:rPr>
        <w:t xml:space="preserve">considerou como realizadas as despesas legalmente empenhadas e as receitas efetivamente arrecadadas no exercício, nos termos do art. 35 da Lei Federal nº 4.320/64. </w:t>
      </w:r>
    </w:p>
    <w:p w:rsidR="00B93B67" w:rsidRPr="00FC6038" w:rsidRDefault="00B93B67" w:rsidP="00B93B67">
      <w:pPr>
        <w:autoSpaceDE w:val="0"/>
        <w:autoSpaceDN w:val="0"/>
        <w:adjustRightInd w:val="0"/>
        <w:spacing w:after="0" w:line="240" w:lineRule="auto"/>
        <w:jc w:val="both"/>
        <w:rPr>
          <w:rFonts w:eastAsia="Times New Roman" w:cs="Arial"/>
          <w:b/>
          <w:color w:val="FF0000"/>
          <w:lang w:eastAsia="pt-BR"/>
        </w:rPr>
      </w:pPr>
    </w:p>
    <w:p w:rsidR="00B93B67" w:rsidRPr="00FC6038" w:rsidRDefault="00B93B67" w:rsidP="00B93B67">
      <w:pPr>
        <w:autoSpaceDE w:val="0"/>
        <w:autoSpaceDN w:val="0"/>
        <w:adjustRightInd w:val="0"/>
        <w:spacing w:after="0" w:line="240" w:lineRule="auto"/>
        <w:jc w:val="both"/>
        <w:rPr>
          <w:color w:val="FF0000"/>
        </w:rPr>
      </w:pPr>
      <w:r w:rsidRPr="00654601">
        <w:rPr>
          <w:rFonts w:eastAsia="Times New Roman" w:cs="Arial"/>
          <w:b/>
          <w:lang w:eastAsia="pt-BR"/>
        </w:rPr>
        <w:t xml:space="preserve">Nota 3 - Operações </w:t>
      </w:r>
      <w:proofErr w:type="spellStart"/>
      <w:r w:rsidRPr="00654601">
        <w:rPr>
          <w:rFonts w:eastAsia="Times New Roman" w:cs="Arial"/>
          <w:b/>
          <w:lang w:eastAsia="pt-BR"/>
        </w:rPr>
        <w:t>Intraorçamentárias</w:t>
      </w:r>
      <w:proofErr w:type="spellEnd"/>
      <w:r w:rsidRPr="00654601">
        <w:rPr>
          <w:rFonts w:eastAsia="Times New Roman" w:cs="Arial"/>
          <w:b/>
          <w:lang w:eastAsia="pt-BR"/>
        </w:rPr>
        <w:t>:</w:t>
      </w:r>
      <w:r w:rsidRPr="00654601">
        <w:rPr>
          <w:rFonts w:eastAsia="Times New Roman" w:cs="Arial"/>
          <w:lang w:eastAsia="pt-BR"/>
        </w:rPr>
        <w:t xml:space="preserve"> de acordo com as prescrições do MCASP as receitas e despesas </w:t>
      </w:r>
      <w:proofErr w:type="spellStart"/>
      <w:r w:rsidRPr="00654601">
        <w:rPr>
          <w:rFonts w:eastAsia="Times New Roman" w:cs="Arial"/>
          <w:lang w:eastAsia="pt-BR"/>
        </w:rPr>
        <w:t>intraorçamentárias</w:t>
      </w:r>
      <w:proofErr w:type="spellEnd"/>
      <w:r w:rsidRPr="00654601">
        <w:rPr>
          <w:rFonts w:eastAsia="Times New Roman" w:cs="Arial"/>
          <w:lang w:eastAsia="pt-BR"/>
        </w:rPr>
        <w:t xml:space="preserve"> são </w:t>
      </w:r>
      <w:r w:rsidRPr="00654601">
        <w:t>aquelas realizadas entre órgãos e demais entidades integrantes do mesmo orçamento e não representam novas entradas de recursos nos cofres públicos do ente, mas apenas movimentação de receitas entre seus órgãos que, devidamente identificadas, possibilitam anulação do efeito da dupla contagem na consolidação das contas. No caso do RPPS, os principais registros se referem ao ingresso das contribuições previdenciárias de responsabilidade do ente patrocinador (patronal)</w:t>
      </w:r>
      <w:r>
        <w:rPr>
          <w:color w:val="FF0000"/>
        </w:rPr>
        <w:t>.</w:t>
      </w:r>
    </w:p>
    <w:p w:rsidR="00B93B67" w:rsidRPr="00DC7E6B" w:rsidRDefault="00B93B67" w:rsidP="00B93B67">
      <w:pPr>
        <w:autoSpaceDE w:val="0"/>
        <w:autoSpaceDN w:val="0"/>
        <w:adjustRightInd w:val="0"/>
        <w:spacing w:after="0" w:line="240" w:lineRule="auto"/>
        <w:jc w:val="both"/>
        <w:rPr>
          <w:rFonts w:eastAsia="Times New Roman" w:cs="Arial"/>
          <w:lang w:eastAsia="pt-BR"/>
        </w:rPr>
      </w:pPr>
    </w:p>
    <w:p w:rsidR="00B93B67" w:rsidRPr="00C36C47" w:rsidRDefault="00B93B67" w:rsidP="00B93B67">
      <w:pPr>
        <w:spacing w:after="0" w:line="240" w:lineRule="auto"/>
        <w:jc w:val="both"/>
        <w:rPr>
          <w:rFonts w:eastAsia="Times New Roman" w:cs="Arial"/>
          <w:lang w:eastAsia="pt-BR"/>
        </w:rPr>
      </w:pPr>
      <w:r w:rsidRPr="00C36C47">
        <w:rPr>
          <w:rFonts w:eastAsia="Times New Roman" w:cs="Arial"/>
          <w:b/>
          <w:lang w:eastAsia="pt-BR"/>
        </w:rPr>
        <w:t xml:space="preserve">Nota 4 - Deduções da Receita Orçamentária: </w:t>
      </w:r>
      <w:r w:rsidRPr="00C36C47">
        <w:rPr>
          <w:rFonts w:eastAsia="Times New Roman" w:cs="Arial"/>
          <w:lang w:eastAsia="pt-BR"/>
        </w:rPr>
        <w:t xml:space="preserve">o valor informado na </w:t>
      </w:r>
      <w:proofErr w:type="gramStart"/>
      <w:r w:rsidRPr="00C36C47">
        <w:rPr>
          <w:rFonts w:eastAsia="Times New Roman" w:cs="Arial"/>
          <w:lang w:eastAsia="pt-BR"/>
        </w:rPr>
        <w:t>coluna  “</w:t>
      </w:r>
      <w:proofErr w:type="gramEnd"/>
      <w:r w:rsidRPr="00C36C47">
        <w:rPr>
          <w:rFonts w:eastAsia="Times New Roman" w:cs="Arial"/>
          <w:lang w:eastAsia="pt-BR"/>
        </w:rPr>
        <w:t>Receitas Realizadas” apresenta a arrecadação líquida, ou seja, já consideradas as deduções da receita do RPPS.</w:t>
      </w:r>
    </w:p>
    <w:p w:rsidR="00B93B67" w:rsidRPr="00C36C47" w:rsidRDefault="00B93B67" w:rsidP="00B93B67">
      <w:pPr>
        <w:spacing w:after="0" w:line="240" w:lineRule="auto"/>
        <w:jc w:val="both"/>
        <w:rPr>
          <w:rFonts w:eastAsia="Times New Roman" w:cs="Arial"/>
          <w:color w:val="FF0000"/>
          <w:lang w:eastAsia="pt-BR"/>
        </w:rPr>
      </w:pPr>
      <w:r w:rsidRPr="00C36C47">
        <w:rPr>
          <w:rFonts w:eastAsia="Times New Roman" w:cs="Arial"/>
          <w:color w:val="FF0000"/>
          <w:lang w:eastAsia="pt-BR"/>
        </w:rPr>
        <w:t xml:space="preserve"> </w:t>
      </w:r>
    </w:p>
    <w:p w:rsidR="00B93B67" w:rsidRPr="0065121C" w:rsidRDefault="00B93B67" w:rsidP="00B93B67">
      <w:pPr>
        <w:spacing w:after="0" w:line="240" w:lineRule="auto"/>
        <w:jc w:val="both"/>
        <w:rPr>
          <w:rFonts w:eastAsia="Times New Roman" w:cs="Arial"/>
          <w:lang w:eastAsia="pt-BR"/>
        </w:rPr>
      </w:pPr>
      <w:r w:rsidRPr="00C36C47">
        <w:rPr>
          <w:rFonts w:eastAsia="Times New Roman" w:cs="Arial"/>
          <w:b/>
          <w:color w:val="FF0000"/>
          <w:lang w:eastAsia="pt-BR"/>
        </w:rPr>
        <w:t xml:space="preserve"> </w:t>
      </w:r>
      <w:r w:rsidRPr="0065121C">
        <w:rPr>
          <w:rFonts w:eastAsia="Times New Roman" w:cs="Arial"/>
          <w:b/>
          <w:lang w:eastAsia="pt-BR"/>
        </w:rPr>
        <w:t xml:space="preserve">Nota 5 - Repasses Financeiros: </w:t>
      </w:r>
      <w:r w:rsidRPr="0065121C">
        <w:rPr>
          <w:rFonts w:eastAsia="Times New Roman" w:cs="Arial"/>
          <w:lang w:eastAsia="pt-BR"/>
        </w:rPr>
        <w:t>de acordo com a legislação aplicável aos RPPS, não foram recebidos recursos sob a forma de aportes financeiros,</w:t>
      </w:r>
      <w:r w:rsidRPr="0065121C">
        <w:rPr>
          <w:rFonts w:eastAsia="SimSun" w:cs="Arial"/>
          <w:lang w:eastAsia="zh-CN"/>
        </w:rPr>
        <w:t xml:space="preserve"> necessários ao atingimento do equilíbrio financeiro e atuarial, os quais, de acordo com </w:t>
      </w:r>
      <w:r w:rsidRPr="0065121C">
        <w:rPr>
          <w:rFonts w:eastAsia="Times New Roman" w:cs="Arial"/>
          <w:lang w:eastAsia="pt-BR"/>
        </w:rPr>
        <w:t xml:space="preserve">o Portaria STN nº 339/2001, </w:t>
      </w:r>
    </w:p>
    <w:p w:rsidR="00B93B67" w:rsidRPr="0065121C" w:rsidRDefault="00B93B67" w:rsidP="00B93B67">
      <w:pPr>
        <w:spacing w:after="0" w:line="240" w:lineRule="auto"/>
        <w:jc w:val="both"/>
        <w:rPr>
          <w:rFonts w:eastAsia="Times New Roman" w:cs="Arial"/>
          <w:lang w:eastAsia="pt-BR"/>
        </w:rPr>
      </w:pPr>
    </w:p>
    <w:p w:rsidR="00B93B67" w:rsidRPr="00C36C47" w:rsidRDefault="00B93B67" w:rsidP="00B93B67">
      <w:pPr>
        <w:spacing w:after="0" w:line="240" w:lineRule="auto"/>
        <w:jc w:val="both"/>
        <w:rPr>
          <w:rFonts w:eastAsia="Times New Roman" w:cs="Arial"/>
          <w:lang w:eastAsia="pt-BR"/>
        </w:rPr>
      </w:pPr>
      <w:r w:rsidRPr="00C36C47">
        <w:rPr>
          <w:rFonts w:eastAsia="Times New Roman" w:cs="Arial"/>
          <w:b/>
          <w:lang w:eastAsia="pt-BR"/>
        </w:rPr>
        <w:t xml:space="preserve">Nota 6 - Utilização do Superávit Financeiro: </w:t>
      </w:r>
      <w:r w:rsidRPr="00C36C47">
        <w:rPr>
          <w:rFonts w:eastAsia="Times New Roman" w:cs="Arial"/>
          <w:lang w:eastAsia="pt-BR"/>
        </w:rPr>
        <w:t xml:space="preserve">não foram utilizados valores do Superávit Financeiro do RPPS apurado no exercício anterior como fonte de abertura para créditos adicionais. </w:t>
      </w:r>
    </w:p>
    <w:p w:rsidR="00B93B67" w:rsidRPr="00C36C47" w:rsidRDefault="00B93B67" w:rsidP="00B93B67">
      <w:pPr>
        <w:spacing w:after="0" w:line="240" w:lineRule="auto"/>
        <w:jc w:val="both"/>
        <w:rPr>
          <w:rFonts w:eastAsia="Times New Roman" w:cs="Arial"/>
          <w:lang w:eastAsia="pt-BR"/>
        </w:rPr>
      </w:pPr>
    </w:p>
    <w:p w:rsidR="00B93B67" w:rsidRPr="00A403AC" w:rsidRDefault="00B93B67" w:rsidP="00B93B67">
      <w:pPr>
        <w:autoSpaceDE w:val="0"/>
        <w:autoSpaceDN w:val="0"/>
        <w:adjustRightInd w:val="0"/>
        <w:spacing w:after="0" w:line="240" w:lineRule="auto"/>
        <w:jc w:val="both"/>
        <w:rPr>
          <w:rFonts w:eastAsia="Times New Roman" w:cs="Arial"/>
          <w:b/>
          <w:lang w:eastAsia="pt-BR"/>
        </w:rPr>
      </w:pPr>
      <w:r w:rsidRPr="00A403AC">
        <w:rPr>
          <w:rFonts w:eastAsia="Times New Roman" w:cs="Arial"/>
          <w:b/>
          <w:lang w:eastAsia="pt-BR"/>
        </w:rPr>
        <w:t xml:space="preserve">Nota 7 – Créditos Adicionais Reabertos:  </w:t>
      </w:r>
      <w:r w:rsidRPr="00A403AC">
        <w:rPr>
          <w:rFonts w:eastAsia="Times New Roman" w:cs="Arial"/>
          <w:lang w:eastAsia="pt-BR"/>
        </w:rPr>
        <w:t xml:space="preserve">de acordo com o disposto no art. 167, § 2º, da Constituição da República, em 2020 não houve a </w:t>
      </w:r>
      <w:r w:rsidRPr="00A403AC">
        <w:rPr>
          <w:rFonts w:cs="MinionPro-Regular"/>
          <w:lang w:val="pt-PT" w:eastAsia="pt-PT"/>
        </w:rPr>
        <w:t>reabertura de créditos especiais no orçamento do RPPS.</w:t>
      </w:r>
    </w:p>
    <w:p w:rsidR="00B93B67" w:rsidRPr="00C36C47" w:rsidRDefault="00B93B67" w:rsidP="00B93B67">
      <w:pPr>
        <w:spacing w:after="0" w:line="240" w:lineRule="auto"/>
        <w:jc w:val="both"/>
        <w:rPr>
          <w:rFonts w:eastAsia="Times New Roman" w:cs="Arial"/>
          <w:b/>
          <w:color w:val="FF0000"/>
          <w:lang w:eastAsia="pt-BR"/>
        </w:rPr>
      </w:pPr>
    </w:p>
    <w:p w:rsidR="00B93B67" w:rsidRPr="0065121C" w:rsidRDefault="00B93B67" w:rsidP="00B93B67">
      <w:pPr>
        <w:spacing w:after="0" w:line="240" w:lineRule="auto"/>
        <w:jc w:val="both"/>
        <w:rPr>
          <w:rFonts w:eastAsia="Times New Roman" w:cs="Arial"/>
          <w:b/>
          <w:sz w:val="20"/>
          <w:szCs w:val="20"/>
          <w:lang w:eastAsia="pt-BR"/>
        </w:rPr>
      </w:pPr>
      <w:r w:rsidRPr="0065121C">
        <w:rPr>
          <w:rFonts w:eastAsia="Times New Roman" w:cs="Arial"/>
          <w:b/>
          <w:lang w:eastAsia="pt-BR"/>
        </w:rPr>
        <w:t xml:space="preserve">Nota 8 - Restos a Pagar: </w:t>
      </w:r>
      <w:r w:rsidRPr="0065121C">
        <w:rPr>
          <w:rFonts w:eastAsia="Times New Roman" w:cs="Arial"/>
          <w:lang w:eastAsia="pt-BR"/>
        </w:rPr>
        <w:t xml:space="preserve">as despesas que foram empenhadas e não pagas até o último dia útil de 2020, foram inscritas e escrituradas como Restos a Pagar Processados e Não Processados, em atendimento aos artigos 35, 36 e 92 da Lei Federal nº 4.320/1964.  Para fins de inscrição, foram observadas as recomendações da Instrução Normativa nº 06/2019, do Tribunal de Contas do Estado e os preceitos da Lei Complementar nº 101/2000. </w:t>
      </w:r>
    </w:p>
    <w:p w:rsidR="00CC55FF" w:rsidRDefault="00CC55FF">
      <w:bookmarkStart w:id="1" w:name="_GoBack"/>
      <w:bookmarkEnd w:id="1"/>
    </w:p>
    <w:sectPr w:rsidR="00CC55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67"/>
    <w:rsid w:val="00B93B67"/>
    <w:rsid w:val="00CC5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4FD2-EE17-4CB9-B7F5-41074B13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B6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2226</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CONTABILIDADE</cp:lastModifiedBy>
  <cp:revision>1</cp:revision>
  <dcterms:created xsi:type="dcterms:W3CDTF">2021-01-20T15:02:00Z</dcterms:created>
  <dcterms:modified xsi:type="dcterms:W3CDTF">2021-01-20T15:04:00Z</dcterms:modified>
</cp:coreProperties>
</file>